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30D8876E" w14:textId="77777777" w:rsidR="00B11A1E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</w:pPr>
      <w:r w:rsidRPr="00101B40">
        <w:rPr>
          <w:rFonts w:ascii="Aptos Display" w:hAnsi="Aptos Display"/>
          <w:b/>
          <w:sz w:val="28"/>
        </w:rPr>
        <w:t>DOSSIER DE CANDIDATURE</w:t>
      </w:r>
      <w:r w:rsidR="00B11A1E" w:rsidRPr="00B11A1E">
        <w:t xml:space="preserve"> </w:t>
      </w:r>
    </w:p>
    <w:p w14:paraId="24C58C78" w14:textId="29FEB8C6" w:rsidR="00BA79BC" w:rsidRPr="00101B40" w:rsidRDefault="00FB4806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FB4806">
        <w:rPr>
          <w:rFonts w:ascii="Aptos Display" w:hAnsi="Aptos Display"/>
          <w:b/>
          <w:sz w:val="28"/>
        </w:rPr>
        <w:t>Travaux de mise en sécurité et conformité des installations électrique et opérations de déconnexion et déconsignation avant démolition sur le périmètre de l’EPAEM</w:t>
      </w: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20C11B45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</w:t>
      </w:r>
      <w:r w:rsidR="00943662">
        <w:rPr>
          <w:rFonts w:ascii="Aptos Display" w:hAnsi="Aptos Display" w:cs="Arial"/>
          <w:b/>
          <w:bCs/>
        </w:rPr>
        <w:t>e la consultation</w:t>
      </w:r>
    </w:p>
    <w:p w14:paraId="40A7C345" w14:textId="0E0201D8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</w:t>
      </w:r>
      <w:r w:rsidR="001C7D92">
        <w:rPr>
          <w:rFonts w:ascii="Aptos Display" w:hAnsi="Aptos Display" w:cs="Arial"/>
          <w:bCs/>
        </w:rPr>
        <w:t xml:space="preserve"> </w:t>
      </w:r>
      <w:r w:rsidR="00FB4806" w:rsidRPr="00FB4806">
        <w:rPr>
          <w:rFonts w:ascii="Aptos Display" w:hAnsi="Aptos Display" w:cs="Arial"/>
          <w:bCs/>
        </w:rPr>
        <w:t>Travaux de mise en sécurité et conformité des installations électrique et opérations de déconnexion et déconsignation avant démolition sur le périmètre de l’EPAEM</w:t>
      </w:r>
      <w:r w:rsidR="009D161D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77F0B" w:rsidRPr="00101B40" w14:paraId="20CF93B9" w14:textId="77777777" w:rsidTr="00101E31">
        <w:tc>
          <w:tcPr>
            <w:tcW w:w="5098" w:type="dxa"/>
          </w:tcPr>
          <w:p w14:paraId="67639198" w14:textId="06BAF62B" w:rsidR="00F77F0B" w:rsidRPr="00943662" w:rsidRDefault="00F77F0B" w:rsidP="004E2B8B">
            <w:pPr>
              <w:pStyle w:val="Corpsdetexte"/>
              <w:widowControl/>
              <w:ind w:hanging="9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N° </w:t>
            </w:r>
            <w:proofErr w:type="spellStart"/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>Siren</w:t>
            </w:r>
            <w:proofErr w:type="spellEnd"/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l’entreprise </w:t>
            </w:r>
          </w:p>
        </w:tc>
        <w:tc>
          <w:tcPr>
            <w:tcW w:w="3828" w:type="dxa"/>
          </w:tcPr>
          <w:p w14:paraId="71D5594B" w14:textId="77777777" w:rsidR="00F77F0B" w:rsidRPr="00101B40" w:rsidRDefault="00F77F0B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F77F0B">
        <w:trPr>
          <w:trHeight w:val="213"/>
        </w:trPr>
        <w:tc>
          <w:tcPr>
            <w:tcW w:w="5098" w:type="dxa"/>
          </w:tcPr>
          <w:p w14:paraId="539BCC26" w14:textId="502D7831" w:rsidR="00101E31" w:rsidRPr="00943662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>N° Siret</w:t>
            </w:r>
            <w:r w:rsidR="00116F53" w:rsidRPr="00943662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l’entité exécutant la prestation et facturant les prestations</w:t>
            </w:r>
            <w:r w:rsidRPr="00943662">
              <w:rPr>
                <w:rFonts w:ascii="Aptos Display" w:hAnsi="Aptos Display"/>
                <w:sz w:val="22"/>
                <w:szCs w:val="22"/>
              </w:rPr>
              <w:t xml:space="preserve">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77F0B" w:rsidRPr="00101B40" w14:paraId="216B3C3A" w14:textId="77777777" w:rsidTr="00101E31">
        <w:tc>
          <w:tcPr>
            <w:tcW w:w="5240" w:type="dxa"/>
          </w:tcPr>
          <w:p w14:paraId="5A3DB4F8" w14:textId="32E62B8C" w:rsidR="00F77F0B" w:rsidRPr="00F101D6" w:rsidRDefault="00F77F0B" w:rsidP="00F77F0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N° </w:t>
            </w:r>
            <w:proofErr w:type="spellStart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Siren</w:t>
            </w:r>
            <w:proofErr w:type="spellEnd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l’entreprise :</w:t>
            </w:r>
          </w:p>
        </w:tc>
        <w:tc>
          <w:tcPr>
            <w:tcW w:w="3828" w:type="dxa"/>
          </w:tcPr>
          <w:p w14:paraId="0C54847C" w14:textId="77777777" w:rsidR="00F77F0B" w:rsidRPr="00101B40" w:rsidRDefault="00F77F0B" w:rsidP="00F77F0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77F0B" w:rsidRPr="00101B40" w14:paraId="256A0388" w14:textId="77777777" w:rsidTr="00101E31">
        <w:tc>
          <w:tcPr>
            <w:tcW w:w="5240" w:type="dxa"/>
          </w:tcPr>
          <w:p w14:paraId="69E89574" w14:textId="48014288" w:rsidR="00F77F0B" w:rsidRPr="00F101D6" w:rsidRDefault="00F77F0B" w:rsidP="00F77F0B">
            <w:pPr>
              <w:pStyle w:val="Corpsdetexte"/>
              <w:ind w:hanging="9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bookmarkStart w:id="0" w:name="_Hlk215499423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N° SIRET de l’établissement exécutant la prestation (obligatoirement celui qui facturera) :</w:t>
            </w:r>
          </w:p>
          <w:p w14:paraId="666DB3AB" w14:textId="1ABA6DFE" w:rsidR="00F77F0B" w:rsidRPr="00F101D6" w:rsidRDefault="00F77F0B" w:rsidP="00F77F0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sz w:val="22"/>
                <w:szCs w:val="22"/>
              </w:rPr>
              <w:lastRenderedPageBreak/>
              <w:t>(Les prestations doivent être facturées exclusivement par l’établissement identifié ci-dessus. Aucun autre SIRET ne pourra être utilisé pour la facturation.)</w:t>
            </w:r>
          </w:p>
        </w:tc>
        <w:tc>
          <w:tcPr>
            <w:tcW w:w="3828" w:type="dxa"/>
          </w:tcPr>
          <w:p w14:paraId="199287A2" w14:textId="77777777" w:rsidR="00F77F0B" w:rsidRPr="00101B40" w:rsidRDefault="00F77F0B" w:rsidP="00F77F0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bookmarkEnd w:id="0"/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4C77AE" w:rsidRPr="00101B40" w14:paraId="3CC8CDB2" w14:textId="77777777" w:rsidTr="00101E31">
        <w:tc>
          <w:tcPr>
            <w:tcW w:w="5240" w:type="dxa"/>
          </w:tcPr>
          <w:p w14:paraId="0B16114D" w14:textId="010BDF8B" w:rsidR="004C77AE" w:rsidRPr="00F101D6" w:rsidRDefault="004C77AE" w:rsidP="004C77AE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N° </w:t>
            </w:r>
            <w:proofErr w:type="spellStart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Siren</w:t>
            </w:r>
            <w:proofErr w:type="spellEnd"/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 xml:space="preserve"> de l’entreprise :</w:t>
            </w:r>
          </w:p>
        </w:tc>
        <w:tc>
          <w:tcPr>
            <w:tcW w:w="3828" w:type="dxa"/>
          </w:tcPr>
          <w:p w14:paraId="68A27E01" w14:textId="77777777" w:rsidR="004C77AE" w:rsidRPr="00101B40" w:rsidRDefault="004C77AE" w:rsidP="004C77AE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4C77AE" w:rsidRPr="00101B40" w14:paraId="44E9C1AC" w14:textId="77777777" w:rsidTr="00101E31">
        <w:tc>
          <w:tcPr>
            <w:tcW w:w="5240" w:type="dxa"/>
          </w:tcPr>
          <w:p w14:paraId="6725C6B7" w14:textId="77777777" w:rsidR="004C77AE" w:rsidRPr="00F101D6" w:rsidRDefault="004C77AE" w:rsidP="004C77AE">
            <w:pPr>
              <w:pStyle w:val="Corpsdetexte"/>
              <w:ind w:hanging="9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F101D6">
              <w:rPr>
                <w:rFonts w:ascii="Aptos Display" w:hAnsi="Aptos Display"/>
                <w:b/>
                <w:bCs/>
                <w:sz w:val="22"/>
                <w:szCs w:val="22"/>
              </w:rPr>
              <w:t>N° SIRET de l’établissement exécutant la prestation (obligatoirement celui qui facturera) :</w:t>
            </w:r>
          </w:p>
          <w:p w14:paraId="555B312E" w14:textId="2F454508" w:rsidR="004C77AE" w:rsidRPr="00F101D6" w:rsidRDefault="004C77AE" w:rsidP="004C77AE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F101D6">
              <w:rPr>
                <w:rFonts w:ascii="Aptos Display" w:hAnsi="Aptos Display"/>
                <w:sz w:val="22"/>
                <w:szCs w:val="22"/>
              </w:rPr>
              <w:t>(Les prestations doivent être facturées exclusivement par l’établissement identifié ci-dessus. Aucun autre SIRET ne pourra être utilisé pour la facturation.)</w:t>
            </w:r>
          </w:p>
        </w:tc>
        <w:tc>
          <w:tcPr>
            <w:tcW w:w="3828" w:type="dxa"/>
          </w:tcPr>
          <w:p w14:paraId="267A8269" w14:textId="77777777" w:rsidR="004C77AE" w:rsidRPr="00101B40" w:rsidRDefault="004C77AE" w:rsidP="004C77AE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2C933A91" w14:textId="518BEB19" w:rsidR="00BA79BC" w:rsidRPr="0050679D" w:rsidRDefault="00BA79BC" w:rsidP="0050679D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3A52FB48" w14:textId="5FAD556B" w:rsidR="00773B73" w:rsidRDefault="001C7D92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  <w:r>
        <w:rPr>
          <w:rFonts w:ascii="Aptos Display" w:hAnsi="Aptos Display" w:cs="Arial"/>
        </w:rPr>
        <w:t xml:space="preserve">Liste des principaux </w:t>
      </w:r>
      <w:r w:rsidR="00FB4806" w:rsidRPr="00FB4806">
        <w:rPr>
          <w:rFonts w:ascii="Aptos Display" w:hAnsi="Aptos Display" w:cs="Arial"/>
        </w:rPr>
        <w:t>travaux réalisés au cours des trois dernières années</w:t>
      </w:r>
      <w:r w:rsidR="00FB4806" w:rsidRPr="00FB4806">
        <w:t xml:space="preserve"> </w:t>
      </w:r>
      <w:r w:rsidR="00FB4806" w:rsidRPr="00FB4806">
        <w:rPr>
          <w:rFonts w:ascii="Aptos Display" w:hAnsi="Aptos Display" w:cs="Arial"/>
        </w:rPr>
        <w:t xml:space="preserve">indiquant le montant, la date et le destinataire public ou privé  </w:t>
      </w:r>
    </w:p>
    <w:p w14:paraId="3D287C57" w14:textId="77777777" w:rsidR="001C7D92" w:rsidRPr="00773B73" w:rsidRDefault="001C7D92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251B0BA0" w14:textId="77777777" w:rsidR="00FB4806" w:rsidRDefault="00FB4806" w:rsidP="00FB4806">
      <w:pPr>
        <w:rPr>
          <w:rFonts w:ascii="Aptos Display" w:eastAsia="Times New Roman" w:hAnsi="Aptos Display" w:cs="Times New Roman"/>
          <w:lang w:eastAsia="fr-FR"/>
        </w:rPr>
      </w:pPr>
      <w:r>
        <w:rPr>
          <w:rFonts w:ascii="Aptos Display" w:eastAsia="Times New Roman" w:hAnsi="Aptos Display" w:cs="Times New Roman"/>
          <w:lang w:eastAsia="fr-FR"/>
        </w:rPr>
        <w:t>(*) en cas de groupement, cette partie est à multiplier pour chacun des cotraitants.</w:t>
      </w:r>
    </w:p>
    <w:p w14:paraId="77CF4AC3" w14:textId="770ED8D7" w:rsidR="00203B4E" w:rsidRDefault="00203B4E" w:rsidP="00646EB7">
      <w:pPr>
        <w:rPr>
          <w:rFonts w:ascii="Aptos Display" w:hAnsi="Aptos Display" w:cs="Arial"/>
          <w:color w:val="FFFFFF" w:themeColor="background1"/>
        </w:rPr>
      </w:pPr>
    </w:p>
    <w:p w14:paraId="7E724513" w14:textId="731F37C7" w:rsidR="00510E1B" w:rsidRPr="00646EB7" w:rsidRDefault="00510E1B" w:rsidP="00510E1B">
      <w:pPr>
        <w:shd w:val="clear" w:color="auto" w:fill="BDD6EE" w:themeFill="accent1" w:themeFillTint="66"/>
        <w:rPr>
          <w:rFonts w:ascii="Aptos Display" w:hAnsi="Aptos Display" w:cs="Arial"/>
          <w:color w:val="FFFFFF" w:themeColor="background1"/>
        </w:rPr>
      </w:pPr>
      <w:bookmarkStart w:id="1" w:name="_Hlk220678820"/>
      <w:r>
        <w:rPr>
          <w:rFonts w:ascii="Aptos Display" w:hAnsi="Aptos Display" w:cs="Arial"/>
          <w:b/>
          <w:bCs/>
        </w:rPr>
        <w:t xml:space="preserve">G </w:t>
      </w:r>
      <w:r w:rsidRPr="00101B40">
        <w:rPr>
          <w:rFonts w:ascii="Aptos Display" w:hAnsi="Aptos Display" w:cs="Arial"/>
          <w:b/>
          <w:bCs/>
        </w:rPr>
        <w:t xml:space="preserve">– </w:t>
      </w:r>
      <w:r>
        <w:rPr>
          <w:rFonts w:ascii="Aptos Display" w:hAnsi="Aptos Display" w:cs="Arial"/>
          <w:b/>
          <w:bCs/>
        </w:rPr>
        <w:t xml:space="preserve">Qualifications professionnelles </w:t>
      </w:r>
    </w:p>
    <w:bookmarkEnd w:id="1"/>
    <w:p w14:paraId="371B008F" w14:textId="7D4BB03B" w:rsidR="00FB4806" w:rsidRDefault="00344723" w:rsidP="00FB4806">
      <w:pPr>
        <w:pStyle w:val="Paragraphedeliste"/>
        <w:numPr>
          <w:ilvl w:val="0"/>
          <w:numId w:val="7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344723">
        <w:rPr>
          <w:rFonts w:ascii="Aptos Display" w:hAnsi="Aptos Display" w:cs="Arial"/>
        </w:rPr>
        <w:t>QUALIFELEC (ou équivalent) – domaine installations électriques</w:t>
      </w:r>
      <w:r w:rsidRPr="00344723">
        <w:rPr>
          <w:rFonts w:ascii="Aptos Display" w:hAnsi="Aptos Display" w:cs="Arial"/>
        </w:rPr>
        <w:t xml:space="preserve"> </w:t>
      </w:r>
      <w:r w:rsidR="00FB4806">
        <w:rPr>
          <w:rFonts w:ascii="Aptos Display" w:hAnsi="Aptos Display" w:cs="Arial"/>
        </w:rPr>
        <w:t>5111 : Installation de plomberie sanitaire individuel, collectif ou autre bâtiment inférieur à 1000 m²</w:t>
      </w:r>
    </w:p>
    <w:p w14:paraId="5150C408" w14:textId="6E9C81F9" w:rsidR="00344723" w:rsidRDefault="00344723" w:rsidP="00FB4806">
      <w:pPr>
        <w:pStyle w:val="Paragraphedeliste"/>
        <w:numPr>
          <w:ilvl w:val="0"/>
          <w:numId w:val="7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344723">
        <w:rPr>
          <w:rFonts w:ascii="Aptos Display" w:hAnsi="Aptos Display" w:cs="Arial"/>
        </w:rPr>
        <w:lastRenderedPageBreak/>
        <w:t>ou références professionnelles démontrant une expérience avérée en travaux électriques de mise en sécurité et de consignation sur sites occupés ou en phase de démolition</w:t>
      </w:r>
    </w:p>
    <w:p w14:paraId="7199D1C6" w14:textId="77777777" w:rsidR="00344723" w:rsidRDefault="00344723" w:rsidP="00FB4806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</w:p>
    <w:p w14:paraId="5A5B3B7F" w14:textId="0B6314BC" w:rsidR="00344723" w:rsidRPr="00344723" w:rsidRDefault="00344723" w:rsidP="00344723">
      <w:pPr>
        <w:shd w:val="clear" w:color="auto" w:fill="BDD6EE" w:themeFill="accent1" w:themeFillTint="66"/>
        <w:rPr>
          <w:rFonts w:ascii="Aptos Display" w:hAnsi="Aptos Display" w:cs="Arial"/>
          <w:color w:val="FFFFFF" w:themeColor="background1"/>
        </w:rPr>
      </w:pPr>
      <w:r>
        <w:rPr>
          <w:rFonts w:ascii="Aptos Display" w:hAnsi="Aptos Display" w:cs="Arial"/>
          <w:b/>
          <w:bCs/>
        </w:rPr>
        <w:t>H</w:t>
      </w:r>
      <w:r w:rsidRPr="00344723">
        <w:rPr>
          <w:rFonts w:ascii="Aptos Display" w:hAnsi="Aptos Display" w:cs="Arial"/>
          <w:b/>
          <w:bCs/>
        </w:rPr>
        <w:t xml:space="preserve"> –</w:t>
      </w:r>
      <w:r>
        <w:rPr>
          <w:rFonts w:ascii="Aptos Display" w:hAnsi="Aptos Display" w:cs="Arial"/>
          <w:b/>
          <w:bCs/>
        </w:rPr>
        <w:t xml:space="preserve"> H</w:t>
      </w:r>
      <w:r w:rsidRPr="00344723">
        <w:rPr>
          <w:rFonts w:ascii="Aptos Display" w:hAnsi="Aptos Display" w:cs="Arial"/>
          <w:b/>
          <w:bCs/>
        </w:rPr>
        <w:t>abilitations</w:t>
      </w:r>
    </w:p>
    <w:p w14:paraId="790651DF" w14:textId="18BFF6C7" w:rsidR="00344723" w:rsidRPr="00344723" w:rsidRDefault="00344723" w:rsidP="00344723">
      <w:pPr>
        <w:numPr>
          <w:ilvl w:val="0"/>
          <w:numId w:val="7"/>
        </w:numPr>
        <w:tabs>
          <w:tab w:val="left" w:pos="864"/>
        </w:tabs>
        <w:spacing w:after="200" w:line="276" w:lineRule="auto"/>
        <w:contextualSpacing/>
        <w:jc w:val="both"/>
        <w:rPr>
          <w:rFonts w:ascii="Aptos Display" w:eastAsiaTheme="minorEastAsia" w:hAnsi="Aptos Display" w:cs="Arial"/>
          <w:lang w:eastAsia="fr-FR"/>
        </w:rPr>
      </w:pPr>
      <w:r w:rsidRPr="00344723">
        <w:rPr>
          <w:rFonts w:ascii="Aptos Display" w:eastAsiaTheme="minorEastAsia" w:hAnsi="Aptos Display" w:cs="Arial"/>
          <w:lang w:eastAsia="fr-FR"/>
        </w:rPr>
        <w:t>B2V ou B1V</w:t>
      </w:r>
    </w:p>
    <w:p w14:paraId="027FD6F2" w14:textId="3AF11AD3" w:rsidR="00344723" w:rsidRDefault="00344723" w:rsidP="00344723">
      <w:pPr>
        <w:numPr>
          <w:ilvl w:val="0"/>
          <w:numId w:val="7"/>
        </w:numPr>
        <w:tabs>
          <w:tab w:val="left" w:pos="864"/>
        </w:tabs>
        <w:spacing w:after="200" w:line="276" w:lineRule="auto"/>
        <w:contextualSpacing/>
        <w:jc w:val="both"/>
        <w:rPr>
          <w:rFonts w:ascii="Aptos Display" w:eastAsiaTheme="minorEastAsia" w:hAnsi="Aptos Display" w:cs="Arial"/>
          <w:lang w:eastAsia="fr-FR"/>
        </w:rPr>
      </w:pPr>
      <w:r w:rsidRPr="00344723">
        <w:rPr>
          <w:rFonts w:ascii="Aptos Display" w:eastAsiaTheme="minorEastAsia" w:hAnsi="Aptos Display" w:cs="Arial"/>
          <w:lang w:eastAsia="fr-FR"/>
        </w:rPr>
        <w:t>BR</w:t>
      </w:r>
    </w:p>
    <w:p w14:paraId="3F51DB57" w14:textId="77777777" w:rsidR="00344723" w:rsidRDefault="00344723" w:rsidP="00344723">
      <w:pPr>
        <w:numPr>
          <w:ilvl w:val="0"/>
          <w:numId w:val="7"/>
        </w:numPr>
        <w:tabs>
          <w:tab w:val="left" w:pos="864"/>
        </w:tabs>
        <w:spacing w:after="200" w:line="276" w:lineRule="auto"/>
        <w:contextualSpacing/>
        <w:jc w:val="both"/>
        <w:rPr>
          <w:rFonts w:ascii="Aptos Display" w:eastAsiaTheme="minorEastAsia" w:hAnsi="Aptos Display" w:cs="Arial"/>
          <w:lang w:eastAsia="fr-FR"/>
        </w:rPr>
      </w:pPr>
      <w:r w:rsidRPr="00344723">
        <w:rPr>
          <w:rFonts w:ascii="Aptos Display" w:eastAsiaTheme="minorEastAsia" w:hAnsi="Aptos Display" w:cs="Arial"/>
          <w:lang w:eastAsia="fr-FR"/>
        </w:rPr>
        <w:t>BC (pour les opérations de consignation électrique)</w:t>
      </w:r>
    </w:p>
    <w:p w14:paraId="070A7F37" w14:textId="72A9345C" w:rsidR="00344723" w:rsidRPr="00344723" w:rsidRDefault="00344723" w:rsidP="00FB4806">
      <w:pPr>
        <w:numPr>
          <w:ilvl w:val="0"/>
          <w:numId w:val="7"/>
        </w:numPr>
        <w:tabs>
          <w:tab w:val="left" w:pos="864"/>
        </w:tabs>
        <w:spacing w:after="200" w:line="276" w:lineRule="auto"/>
        <w:contextualSpacing/>
        <w:jc w:val="both"/>
        <w:rPr>
          <w:rFonts w:ascii="Aptos Display" w:eastAsiaTheme="minorEastAsia" w:hAnsi="Aptos Display" w:cs="Arial"/>
          <w:lang w:eastAsia="fr-FR"/>
        </w:rPr>
      </w:pPr>
      <w:r w:rsidRPr="00344723">
        <w:rPr>
          <w:rFonts w:ascii="Aptos Display" w:hAnsi="Aptos Display" w:cs="Arial"/>
        </w:rPr>
        <w:t>habilitations conformes à la norme NF C 18-510.</w:t>
      </w:r>
    </w:p>
    <w:p w14:paraId="791A840A" w14:textId="133583B5" w:rsidR="00FB4806" w:rsidRDefault="00FB4806" w:rsidP="00FB4806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  <w:r>
        <w:rPr>
          <w:rFonts w:ascii="Aptos Display" w:hAnsi="Aptos Display" w:cs="Arial"/>
          <w:color w:val="EE0000"/>
        </w:rPr>
        <w:t xml:space="preserve">Les qualifications </w:t>
      </w:r>
      <w:r>
        <w:rPr>
          <w:rFonts w:ascii="Aptos Display" w:hAnsi="Aptos Display" w:cs="Arial"/>
          <w:color w:val="EE0000"/>
        </w:rPr>
        <w:t xml:space="preserve">et habilitations </w:t>
      </w:r>
      <w:r>
        <w:rPr>
          <w:rFonts w:ascii="Aptos Display" w:hAnsi="Aptos Display" w:cs="Arial"/>
          <w:color w:val="EE0000"/>
        </w:rPr>
        <w:t>doivent être fournies en annexe du présent canevas.</w:t>
      </w:r>
    </w:p>
    <w:p w14:paraId="07D6A148" w14:textId="687E5D06" w:rsidR="00510E1B" w:rsidRPr="00510E1B" w:rsidRDefault="00510E1B" w:rsidP="00FB4806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  <w:color w:val="EE0000"/>
        </w:rPr>
      </w:pPr>
    </w:p>
    <w:sectPr w:rsidR="00510E1B" w:rsidRPr="00510E1B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533CD"/>
    <w:multiLevelType w:val="hybridMultilevel"/>
    <w:tmpl w:val="F0CC5762"/>
    <w:lvl w:ilvl="0" w:tplc="D382D6E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5"/>
  </w:num>
  <w:num w:numId="6" w16cid:durableId="37779776">
    <w:abstractNumId w:val="6"/>
  </w:num>
  <w:num w:numId="7" w16cid:durableId="106275117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F7FB9"/>
    <w:rsid w:val="00101B40"/>
    <w:rsid w:val="00101E31"/>
    <w:rsid w:val="00116F53"/>
    <w:rsid w:val="001206A0"/>
    <w:rsid w:val="00134C3C"/>
    <w:rsid w:val="0015392B"/>
    <w:rsid w:val="001B0C35"/>
    <w:rsid w:val="001C7D92"/>
    <w:rsid w:val="001D0A63"/>
    <w:rsid w:val="00203B4E"/>
    <w:rsid w:val="00210456"/>
    <w:rsid w:val="00252A6A"/>
    <w:rsid w:val="00285C4B"/>
    <w:rsid w:val="002C52A2"/>
    <w:rsid w:val="002F104E"/>
    <w:rsid w:val="0030029F"/>
    <w:rsid w:val="00344723"/>
    <w:rsid w:val="0035579B"/>
    <w:rsid w:val="004264AE"/>
    <w:rsid w:val="0043667C"/>
    <w:rsid w:val="00492856"/>
    <w:rsid w:val="004B627F"/>
    <w:rsid w:val="004C77AE"/>
    <w:rsid w:val="004D1F82"/>
    <w:rsid w:val="004D4900"/>
    <w:rsid w:val="004E2C48"/>
    <w:rsid w:val="0050679D"/>
    <w:rsid w:val="00510E1B"/>
    <w:rsid w:val="00546718"/>
    <w:rsid w:val="005476D2"/>
    <w:rsid w:val="00584BF0"/>
    <w:rsid w:val="005B0806"/>
    <w:rsid w:val="005C216D"/>
    <w:rsid w:val="006026F5"/>
    <w:rsid w:val="00646EB7"/>
    <w:rsid w:val="006861BC"/>
    <w:rsid w:val="00764C2C"/>
    <w:rsid w:val="00773B73"/>
    <w:rsid w:val="007D02CE"/>
    <w:rsid w:val="00815480"/>
    <w:rsid w:val="00815FA2"/>
    <w:rsid w:val="00833D38"/>
    <w:rsid w:val="008C57DD"/>
    <w:rsid w:val="00943662"/>
    <w:rsid w:val="009D161D"/>
    <w:rsid w:val="009D6BEE"/>
    <w:rsid w:val="009E0AE6"/>
    <w:rsid w:val="009F1427"/>
    <w:rsid w:val="00A76227"/>
    <w:rsid w:val="00A95EB3"/>
    <w:rsid w:val="00AF541C"/>
    <w:rsid w:val="00B11A1E"/>
    <w:rsid w:val="00B23D4C"/>
    <w:rsid w:val="00BA79BC"/>
    <w:rsid w:val="00BF2E53"/>
    <w:rsid w:val="00BF7F0C"/>
    <w:rsid w:val="00C30193"/>
    <w:rsid w:val="00C702FC"/>
    <w:rsid w:val="00CD4221"/>
    <w:rsid w:val="00CE0534"/>
    <w:rsid w:val="00CF0FDE"/>
    <w:rsid w:val="00D01111"/>
    <w:rsid w:val="00D05D4F"/>
    <w:rsid w:val="00D200FD"/>
    <w:rsid w:val="00D35C19"/>
    <w:rsid w:val="00DA5A32"/>
    <w:rsid w:val="00DD2179"/>
    <w:rsid w:val="00E10B39"/>
    <w:rsid w:val="00E301E1"/>
    <w:rsid w:val="00E53CAC"/>
    <w:rsid w:val="00E72DE6"/>
    <w:rsid w:val="00E87178"/>
    <w:rsid w:val="00E911B8"/>
    <w:rsid w:val="00EC052D"/>
    <w:rsid w:val="00F0274F"/>
    <w:rsid w:val="00F101D6"/>
    <w:rsid w:val="00F1631A"/>
    <w:rsid w:val="00F23E44"/>
    <w:rsid w:val="00F247B6"/>
    <w:rsid w:val="00F618EE"/>
    <w:rsid w:val="00F77F0B"/>
    <w:rsid w:val="00FB4806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723"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026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026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026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26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26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1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3" ma:contentTypeDescription="Crée un document." ma:contentTypeScope="" ma:versionID="a75eda60461b289e9b834e8b0d6d1680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5e174cb06f64714ef146251c8fd3a21a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2aa4bb-004f-4b78-a1fe-a9d568b42bf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d64e428f-a604-4ab4-a76f-0d535b5e42a6"/>
    <ds:schemaRef ds:uri="f050c1af-32bb-4813-a83e-7edf209bee23"/>
  </ds:schemaRefs>
</ds:datastoreItem>
</file>

<file path=customXml/itemProps3.xml><?xml version="1.0" encoding="utf-8"?>
<ds:datastoreItem xmlns:ds="http://schemas.openxmlformats.org/officeDocument/2006/customXml" ds:itemID="{F0445532-7ED2-49F1-9FAA-65DB781D58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1116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Lydia BECK</cp:lastModifiedBy>
  <cp:revision>76</cp:revision>
  <dcterms:created xsi:type="dcterms:W3CDTF">2022-05-09T10:22:00Z</dcterms:created>
  <dcterms:modified xsi:type="dcterms:W3CDTF">2026-01-30T14:22:00Z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